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CF0" w:rsidRPr="007D2CF0" w:rsidRDefault="007D2CF0" w:rsidP="007D2CF0">
      <w:pPr>
        <w:shd w:val="clear" w:color="auto" w:fill="FFFFFF"/>
        <w:spacing w:after="630" w:line="840" w:lineRule="atLeast"/>
        <w:outlineLvl w:val="0"/>
        <w:rPr>
          <w:rFonts w:ascii="Arial" w:eastAsia="Times New Roman" w:hAnsi="Arial" w:cs="Arial"/>
          <w:color w:val="000000"/>
          <w:spacing w:val="-3"/>
          <w:kern w:val="36"/>
          <w:sz w:val="66"/>
          <w:szCs w:val="66"/>
          <w:lang w:eastAsia="ru-RU"/>
        </w:rPr>
      </w:pPr>
      <w:r w:rsidRPr="007D2CF0">
        <w:rPr>
          <w:rFonts w:ascii="Arial" w:eastAsia="Times New Roman" w:hAnsi="Arial" w:cs="Arial"/>
          <w:color w:val="000000"/>
          <w:spacing w:val="-3"/>
          <w:kern w:val="36"/>
          <w:sz w:val="66"/>
          <w:szCs w:val="66"/>
          <w:lang w:eastAsia="ru-RU"/>
        </w:rPr>
        <w:t>Продолжается обучение работников областных государственных организаций по актуальным вопросам антикоррупционного законодательства</w:t>
      </w:r>
    </w:p>
    <w:p w:rsidR="007D2CF0" w:rsidRPr="007D2CF0" w:rsidRDefault="007D2CF0" w:rsidP="007D2CF0">
      <w:pPr>
        <w:shd w:val="clear" w:color="auto" w:fill="FFFFFF"/>
        <w:spacing w:before="420" w:after="42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D2CF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11 июня 2024 года состоялся очередной семинар-практикум по вопросам выявления, предотвращения и урегулирования конфликта интересов в государственных организациях, проведенный отделом по профилактике коррупционных правонарушений Администрации Губернатора Калужской области для представителей государственных учреждений и предприятий, подведомственных министерству транспорта Калужской области, министерству строительства и жилищно-коммунального хозяйства Калужской области, министерству экономического развития и промышленности Калужской области.</w:t>
      </w:r>
    </w:p>
    <w:p w:rsidR="007D2CF0" w:rsidRPr="007D2CF0" w:rsidRDefault="007D2CF0" w:rsidP="007D2C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D2CF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 участниками семинара обсуждены типовые ситуации и условия возникновения конфликта интересов; обстоятельства, которые могут повлиять на применение работодателем конкретной меры ответственности за допущенный работником конфликт интересов. Разобраны примеры судебной практики по данному вопросу.</w:t>
      </w:r>
      <w:r w:rsidRPr="007D2CF0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7D2CF0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 wp14:anchorId="022B789B" wp14:editId="43445CDF">
            <wp:extent cx="7620000" cy="5715000"/>
            <wp:effectExtent l="0" t="0" r="0" b="0"/>
            <wp:docPr id="1" name="Рисунок 1" descr="https://admoblkaluga.ru/upload/obshchestvo-vlast/protivkorruptsii/novosti/2024_06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oblkaluga.ru/upload/obshchestvo-vlast/protivkorruptsii/novosti/2024_06_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CF0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7D2CF0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Совместное решение практических заданий позволило участникам обучающего мероприятия закрепить полученные теоретические знания.</w:t>
      </w:r>
      <w:r w:rsidRPr="007D2CF0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p w:rsidR="007D2CF0" w:rsidRPr="007D2CF0" w:rsidRDefault="007D2CF0" w:rsidP="007D2CF0">
      <w:pPr>
        <w:shd w:val="clear" w:color="auto" w:fill="FFFFFF"/>
        <w:spacing w:before="420" w:after="42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D2CF0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7D2CF0" w:rsidRPr="007D2CF0" w:rsidRDefault="007D2CF0" w:rsidP="007D2CF0">
      <w:pPr>
        <w:shd w:val="clear" w:color="auto" w:fill="FFFFFF"/>
        <w:spacing w:before="420" w:after="420" w:line="240" w:lineRule="auto"/>
        <w:jc w:val="righ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7D2CF0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Отдел по профилактике</w:t>
      </w:r>
      <w:r w:rsidRPr="007D2CF0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7D2CF0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коррупционных правонарушений</w:t>
      </w:r>
      <w:r w:rsidRPr="007D2CF0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7D2CF0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Администрации Губернатора</w:t>
      </w:r>
      <w:r w:rsidRPr="007D2CF0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7D2CF0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t>Калужской области</w:t>
      </w:r>
      <w:bookmarkStart w:id="0" w:name="_GoBack"/>
      <w:bookmarkEnd w:id="0"/>
    </w:p>
    <w:sectPr w:rsidR="007D2CF0" w:rsidRPr="007D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A1F09"/>
    <w:multiLevelType w:val="multilevel"/>
    <w:tmpl w:val="9570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DD"/>
    <w:rsid w:val="00766005"/>
    <w:rsid w:val="007D2CF0"/>
    <w:rsid w:val="007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5D07B-74F5-4A35-AA46-0ACF36A2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2024-06-13T09:30:00Z</dcterms:created>
  <dcterms:modified xsi:type="dcterms:W3CDTF">2024-06-13T09:31:00Z</dcterms:modified>
</cp:coreProperties>
</file>